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hint="eastAsia"/>
        </w:rPr>
        <w:t>证券</w:t>
      </w:r>
      <w:r>
        <w:rPr>
          <w:rFonts w:hint="eastAsia" w:ascii="宋体" w:hAnsi="宋体"/>
        </w:rPr>
        <w:t xml:space="preserve">代码：002372   </w:t>
      </w:r>
      <w:r>
        <w:rPr>
          <w:rFonts w:hint="eastAsia"/>
        </w:rPr>
        <w:t xml:space="preserve">                     证券简称：伟星新材</w:t>
      </w:r>
    </w:p>
    <w:p>
      <w:pPr>
        <w:spacing w:line="360" w:lineRule="auto"/>
        <w:jc w:val="center"/>
        <w:rPr>
          <w:rFonts w:ascii="宋体" w:hAnsi="宋体" w:cs="宋体"/>
          <w:b/>
          <w:bCs/>
          <w:iCs/>
          <w:sz w:val="32"/>
          <w:szCs w:val="32"/>
        </w:rPr>
      </w:pPr>
      <w:r>
        <w:rPr>
          <w:rFonts w:hint="eastAsia" w:ascii="宋体" w:hAnsi="宋体" w:cs="宋体"/>
          <w:b/>
          <w:bCs/>
          <w:iCs/>
          <w:sz w:val="32"/>
          <w:szCs w:val="32"/>
        </w:rPr>
        <w:t>浙江伟星新型建材股份有限公司投资者关系活动记录表</w:t>
      </w:r>
    </w:p>
    <w:p>
      <w:pPr>
        <w:spacing w:line="360" w:lineRule="auto"/>
        <w:jc w:val="right"/>
        <w:rPr>
          <w:rFonts w:ascii="宋体" w:hAnsi="宋体" w:cs="宋体"/>
          <w:bCs/>
          <w:iCs/>
          <w:szCs w:val="21"/>
        </w:rPr>
      </w:pPr>
      <w:r>
        <w:rPr>
          <w:rFonts w:hint="eastAsia" w:ascii="宋体" w:hAnsi="宋体" w:cs="宋体"/>
          <w:bCs/>
          <w:iCs/>
          <w:sz w:val="24"/>
        </w:rPr>
        <w:t xml:space="preserve">                    </w:t>
      </w:r>
      <w:r>
        <w:rPr>
          <w:rFonts w:hint="eastAsia" w:ascii="宋体" w:hAnsi="宋体" w:cs="宋体"/>
          <w:bCs/>
          <w:iCs/>
          <w:szCs w:val="21"/>
        </w:rPr>
        <w:t xml:space="preserve"> 编号：2019-024</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p>
          <w:p>
            <w:pPr>
              <w:spacing w:line="360" w:lineRule="auto"/>
              <w:rPr>
                <w:rFonts w:ascii="宋体" w:hAnsi="宋体" w:cs="宋体"/>
                <w:b/>
                <w:bCs/>
                <w:iCs/>
                <w:szCs w:val="21"/>
              </w:rPr>
            </w:pPr>
            <w:r>
              <w:rPr>
                <w:rFonts w:hint="eastAsia" w:ascii="宋体" w:hAnsi="宋体" w:cs="宋体"/>
                <w:b/>
                <w:bCs/>
                <w:iCs/>
                <w:szCs w:val="21"/>
              </w:rPr>
              <w:t>投资者关系活动类别</w:t>
            </w:r>
          </w:p>
          <w:p>
            <w:pPr>
              <w:spacing w:line="360" w:lineRule="auto"/>
              <w:rPr>
                <w:rFonts w:ascii="宋体" w:hAnsi="宋体" w:cs="宋体"/>
                <w:b/>
                <w:bCs/>
                <w:iCs/>
                <w:szCs w:val="21"/>
              </w:rPr>
            </w:pP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iCs/>
                <w:szCs w:val="21"/>
              </w:rPr>
            </w:pPr>
            <w:r>
              <w:rPr>
                <w:rFonts w:hint="eastAsia" w:ascii="宋体" w:hAnsi="宋体" w:cs="宋体"/>
                <w:bCs/>
                <w:iCs/>
                <w:szCs w:val="21"/>
              </w:rPr>
              <w:t>□</w:t>
            </w:r>
            <w:r>
              <w:rPr>
                <w:rFonts w:hint="eastAsia" w:ascii="宋体" w:hAnsi="宋体" w:cs="宋体"/>
                <w:szCs w:val="21"/>
              </w:rPr>
              <w:t xml:space="preserve">特定对象调研        </w:t>
            </w:r>
            <w:r>
              <w:rPr>
                <w:rFonts w:hint="eastAsia" w:ascii="宋体" w:hAnsi="宋体" w:cs="宋体"/>
                <w:bCs/>
                <w:iCs/>
                <w:szCs w:val="21"/>
              </w:rPr>
              <w:t>□</w:t>
            </w:r>
            <w:r>
              <w:rPr>
                <w:rFonts w:hint="eastAsia" w:ascii="宋体" w:hAnsi="宋体" w:cs="宋体"/>
                <w:szCs w:val="21"/>
              </w:rPr>
              <w:t>分析师会议</w:t>
            </w:r>
          </w:p>
          <w:p>
            <w:pPr>
              <w:spacing w:line="360" w:lineRule="auto"/>
              <w:rPr>
                <w:rFonts w:ascii="宋体" w:hAnsi="宋体" w:cs="宋体"/>
                <w:bCs/>
                <w:iCs/>
                <w:szCs w:val="21"/>
              </w:rPr>
            </w:pPr>
            <w:r>
              <w:rPr>
                <w:rFonts w:hint="eastAsia" w:ascii="宋体" w:hAnsi="宋体" w:cs="宋体"/>
                <w:bCs/>
                <w:iCs/>
                <w:szCs w:val="21"/>
              </w:rPr>
              <w:t>□</w:t>
            </w:r>
            <w:r>
              <w:rPr>
                <w:rFonts w:hint="eastAsia" w:ascii="宋体" w:hAnsi="宋体" w:cs="宋体"/>
                <w:szCs w:val="21"/>
              </w:rPr>
              <w:t xml:space="preserve">媒体采访            </w:t>
            </w:r>
            <w:r>
              <w:rPr>
                <w:rFonts w:hint="eastAsia" w:ascii="宋体" w:hAnsi="宋体" w:cs="宋体"/>
                <w:bCs/>
                <w:iCs/>
                <w:szCs w:val="21"/>
              </w:rPr>
              <w:t>□</w:t>
            </w:r>
            <w:r>
              <w:rPr>
                <w:rFonts w:hint="eastAsia" w:ascii="宋体" w:hAnsi="宋体" w:cs="宋体"/>
                <w:szCs w:val="21"/>
              </w:rPr>
              <w:t>业绩说明会</w:t>
            </w:r>
          </w:p>
          <w:p>
            <w:pPr>
              <w:spacing w:line="360" w:lineRule="auto"/>
              <w:rPr>
                <w:rFonts w:ascii="宋体" w:hAnsi="宋体" w:cs="宋体"/>
                <w:bCs/>
                <w:iCs/>
                <w:szCs w:val="21"/>
              </w:rPr>
            </w:pPr>
            <w:r>
              <w:rPr>
                <w:rFonts w:hint="eastAsia" w:ascii="宋体" w:hAnsi="宋体" w:cs="宋体"/>
                <w:bCs/>
                <w:iCs/>
                <w:szCs w:val="21"/>
              </w:rPr>
              <w:t>□</w:t>
            </w:r>
            <w:r>
              <w:rPr>
                <w:rFonts w:hint="eastAsia" w:ascii="宋体" w:hAnsi="宋体" w:cs="宋体"/>
                <w:szCs w:val="21"/>
              </w:rPr>
              <w:t xml:space="preserve">新闻发布会          </w:t>
            </w:r>
            <w:r>
              <w:rPr>
                <w:rFonts w:hint="eastAsia" w:ascii="宋体" w:hAnsi="宋体" w:cs="宋体"/>
                <w:bCs/>
                <w:iCs/>
                <w:szCs w:val="21"/>
              </w:rPr>
              <w:t>□</w:t>
            </w:r>
            <w:r>
              <w:rPr>
                <w:rFonts w:hint="eastAsia" w:ascii="宋体" w:hAnsi="宋体" w:cs="宋体"/>
                <w:szCs w:val="21"/>
              </w:rPr>
              <w:t>路演活动</w:t>
            </w:r>
          </w:p>
          <w:p>
            <w:pPr>
              <w:tabs>
                <w:tab w:val="left" w:pos="3045"/>
                <w:tab w:val="center" w:pos="3199"/>
              </w:tabs>
              <w:spacing w:line="360" w:lineRule="auto"/>
              <w:rPr>
                <w:rFonts w:ascii="宋体" w:hAnsi="宋体" w:cs="宋体"/>
                <w:bCs/>
                <w:iCs/>
                <w:szCs w:val="21"/>
              </w:rPr>
            </w:pPr>
            <w:r>
              <w:rPr>
                <w:rFonts w:hint="eastAsia" w:ascii="宋体" w:hAnsi="宋体" w:cs="宋体"/>
                <w:bCs/>
                <w:iCs/>
                <w:szCs w:val="21"/>
              </w:rPr>
              <w:t>□</w:t>
            </w:r>
            <w:r>
              <w:rPr>
                <w:rFonts w:hint="eastAsia" w:ascii="宋体" w:hAnsi="宋体" w:cs="宋体"/>
                <w:szCs w:val="21"/>
              </w:rPr>
              <w:t xml:space="preserve">现场参观            </w:t>
            </w:r>
            <w:r>
              <w:rPr>
                <w:rFonts w:hint="eastAsia" w:ascii="宋体" w:hAnsi="宋体" w:cs="宋体"/>
                <w:bCs/>
                <w:iCs/>
                <w:szCs w:val="21"/>
              </w:rPr>
              <w:t>√</w:t>
            </w:r>
            <w:r>
              <w:rPr>
                <w:rFonts w:hint="eastAsia" w:ascii="宋体" w:hAnsi="宋体" w:cs="宋体"/>
                <w:szCs w:val="21"/>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参与单位名称及人员姓名</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rPr>
            </w:pPr>
            <w:r>
              <w:rPr>
                <w:rFonts w:hint="eastAsia" w:ascii="宋体" w:hAnsi="宋体"/>
              </w:rPr>
              <w:t>海通证券：冯晨阳、申浩、杜市伟、潘莹练；江信基金：马光耀；益菁汇资产：王艇；巴沃投资：刘钦华；交银施罗德基金：封晴；谊菁汇资产：张路远；富达基金：qing sherry、周波；海螺创业投资：吴怡丽；上海承周资产：漆启焱；平安养老保险：陈晓光；光大资管：应超；BARING：Sheng Maggie；国泰君安自营：高远；国泰君安资管：李子波；理成资产：王叶华；长信基金：程昕；蠡慧投资：陶世奇；丹裔投资：张昭丞；德邦基金：房建威；异同投资：朱龙洋；财通资管：何志超；建信养老金保险：刘洋；永安国富资产：胡瑶；天风证券自营：甘力；天弘基金：唐博；三星资产管理：徐平；中金资管：张月；摩根大通资管：秦敏；弘尚资产：叶磊；湘财基金：欧阳俊明；华宝基金：吴心怡；PPCL 鲍尔太平资产：张笑石；招商银行：徐佳琪；东方证券资管：裴政；上海沣杨资产：谢佳妮；尚峰资产：张显宁；华信资管：卢晓峰；国泰基金：李恒；海通证券资管：李想；施罗德基金：陈建季；富达国际：周文群；立格资本：张芳；宝银基金：王浩；中欧基金：于翔、沈悦；友邦保险：田蓓；开源证券：师正浩；上海益菁汇资产：蒋弈非、吴美林；兴业证券资管：卓佳亮；工银瑞信：张琳；远策投资：林佳宁；国金资管：邱友锋；瑞银投资：杜文卓；未来资产大禹投资：李应求；上海天井投资：董非；上海协囤投资：郝结旺；大朴资产：李纲领；富国基金：蒲世林；榜样投资：吴宪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时间</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iCs/>
                <w:szCs w:val="21"/>
              </w:rPr>
            </w:pPr>
            <w:r>
              <w:rPr>
                <w:rFonts w:hint="eastAsia" w:ascii="宋体" w:hAnsi="宋体" w:cs="宋体"/>
                <w:bCs/>
                <w:iCs/>
                <w:szCs w:val="21"/>
              </w:rPr>
              <w:t>2019年10月29日下午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地点</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iCs/>
                <w:szCs w:val="21"/>
              </w:rPr>
            </w:pPr>
            <w:r>
              <w:rPr>
                <w:rFonts w:hint="eastAsia" w:ascii="宋体" w:hAnsi="宋体"/>
                <w:szCs w:val="21"/>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上市公司接待人员姓名</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rPr>
            </w:pPr>
            <w:r>
              <w:rPr>
                <w:rFonts w:hint="eastAsia" w:ascii="宋体" w:hAnsi="宋体" w:cs="宋体"/>
              </w:rPr>
              <w:t>谭梅、陈安门等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投资者关系活动主要内容介绍</w:t>
            </w:r>
          </w:p>
        </w:tc>
        <w:tc>
          <w:tcPr>
            <w:tcW w:w="7740" w:type="dxa"/>
            <w:tcBorders>
              <w:top w:val="single" w:color="auto" w:sz="4" w:space="0"/>
              <w:left w:val="single" w:color="auto" w:sz="4" w:space="0"/>
              <w:bottom w:val="single" w:color="auto" w:sz="4" w:space="0"/>
              <w:right w:val="single" w:color="auto" w:sz="4" w:space="0"/>
            </w:tcBorders>
          </w:tcPr>
          <w:p>
            <w:pPr>
              <w:spacing w:line="360" w:lineRule="auto"/>
              <w:ind w:firstLine="422" w:firstLineChars="200"/>
              <w:rPr>
                <w:rFonts w:ascii="宋体" w:hAnsi="宋体"/>
                <w:b/>
                <w:szCs w:val="21"/>
              </w:rPr>
            </w:pPr>
            <w:r>
              <w:rPr>
                <w:rFonts w:hint="eastAsia" w:ascii="宋体" w:hAnsi="宋体"/>
                <w:b/>
                <w:szCs w:val="21"/>
              </w:rPr>
              <w:t>一、公司2019年前三季度经营情况介绍</w:t>
            </w:r>
          </w:p>
          <w:p>
            <w:pPr>
              <w:spacing w:line="360" w:lineRule="auto"/>
              <w:ind w:firstLine="420" w:firstLineChars="200"/>
              <w:rPr>
                <w:rFonts w:ascii="宋体" w:hAnsi="宋体"/>
                <w:szCs w:val="21"/>
              </w:rPr>
            </w:pPr>
            <w:r>
              <w:rPr>
                <w:rFonts w:hint="eastAsia" w:ascii="宋体" w:hAnsi="宋体"/>
                <w:szCs w:val="21"/>
              </w:rPr>
              <w:t>2019年1-9月公司实现营业收入31.20亿元，同比增长5.15%，</w:t>
            </w:r>
            <w:r>
              <w:rPr>
                <w:rFonts w:ascii="宋体" w:hAnsi="宋体"/>
                <w:szCs w:val="21"/>
              </w:rPr>
              <w:t>归属于上市公司股东的净利润</w:t>
            </w:r>
            <w:r>
              <w:rPr>
                <w:rFonts w:hint="eastAsia" w:ascii="宋体" w:hAnsi="宋体"/>
                <w:szCs w:val="21"/>
              </w:rPr>
              <w:t>6.92亿元，同比增长5.86%，经营活动产生的现金流量净额同比增长14.15%；7-9月公司实现营业收入10.15亿元，同比减少6.08%，</w:t>
            </w:r>
            <w:r>
              <w:rPr>
                <w:rFonts w:ascii="宋体" w:hAnsi="宋体"/>
                <w:szCs w:val="21"/>
              </w:rPr>
              <w:t>归属于上市公司股东的净利润</w:t>
            </w:r>
            <w:r>
              <w:rPr>
                <w:rFonts w:hint="eastAsia" w:ascii="宋体" w:hAnsi="宋体"/>
                <w:szCs w:val="21"/>
              </w:rPr>
              <w:t>2.49亿元，同比减少7.16%，经营活动产生的现金流量净额同比增长9.42%。第三季度销售收入同比下降主要是因为零售业务和市政工程业务销售增速下降，特别是市政工程下降幅度相对较大，建筑工程依然保持了较好的发展态势。</w:t>
            </w:r>
          </w:p>
          <w:p>
            <w:pPr>
              <w:spacing w:line="360" w:lineRule="auto"/>
              <w:ind w:firstLine="420" w:firstLineChars="200"/>
              <w:rPr>
                <w:rFonts w:ascii="宋体" w:hAnsi="宋体"/>
                <w:szCs w:val="21"/>
              </w:rPr>
            </w:pPr>
            <w:r>
              <w:rPr>
                <w:rFonts w:hint="eastAsia" w:ascii="宋体" w:hAnsi="宋体"/>
                <w:szCs w:val="21"/>
              </w:rPr>
              <w:t>零售业务销售增速下降的原因：一是今年宏观经济环境严峻，零售消费市场明显受到影响，总体呈现低迷；二是产业结构变化较大，今年尤其在我们的成熟区域市场，毛坯房的交房量大幅下降，从而对零售市场造成一定冲击；三是我们的团队面对今年较大的市场变化和</w:t>
            </w:r>
            <w:r>
              <w:rPr>
                <w:rFonts w:ascii="宋体" w:hAnsi="宋体"/>
                <w:szCs w:val="21"/>
              </w:rPr>
              <w:t>激</w:t>
            </w:r>
            <w:r>
              <w:rPr>
                <w:rFonts w:hint="eastAsia" w:ascii="宋体" w:hAnsi="宋体"/>
                <w:szCs w:val="21"/>
              </w:rPr>
              <w:t>烈的市场环境，调整应变速度不够快、执行公司的思路不够到位等。</w:t>
            </w:r>
          </w:p>
          <w:p>
            <w:pPr>
              <w:spacing w:line="360" w:lineRule="auto"/>
              <w:ind w:firstLine="420" w:firstLineChars="200"/>
              <w:rPr>
                <w:rFonts w:ascii="宋体" w:hAnsi="宋体"/>
                <w:szCs w:val="21"/>
              </w:rPr>
            </w:pPr>
            <w:r>
              <w:rPr>
                <w:rFonts w:hint="eastAsia" w:ascii="宋体" w:hAnsi="宋体"/>
                <w:szCs w:val="21"/>
              </w:rPr>
              <w:t>市政工程</w:t>
            </w:r>
            <w:r>
              <w:rPr>
                <w:rFonts w:hint="eastAsia" w:ascii="宋体" w:hAnsi="宋体"/>
                <w:szCs w:val="21"/>
                <w:lang w:val="en-US" w:eastAsia="zh-CN"/>
              </w:rPr>
              <w:t>销</w:t>
            </w:r>
            <w:r>
              <w:rPr>
                <w:rFonts w:hint="eastAsia" w:ascii="宋体" w:hAnsi="宋体"/>
                <w:szCs w:val="21"/>
              </w:rPr>
              <w:t>售增速下降主要是公司今年将</w:t>
            </w:r>
            <w:r>
              <w:rPr>
                <w:rFonts w:ascii="宋体" w:hAnsi="宋体"/>
                <w:szCs w:val="21"/>
              </w:rPr>
              <w:t>市</w:t>
            </w:r>
            <w:r>
              <w:rPr>
                <w:rFonts w:hint="eastAsia" w:ascii="宋体" w:hAnsi="宋体"/>
                <w:szCs w:val="21"/>
              </w:rPr>
              <w:t>政</w:t>
            </w:r>
            <w:r>
              <w:rPr>
                <w:rFonts w:ascii="宋体" w:hAnsi="宋体"/>
                <w:szCs w:val="21"/>
              </w:rPr>
              <w:t>工</w:t>
            </w:r>
            <w:r>
              <w:rPr>
                <w:rFonts w:hint="eastAsia" w:ascii="宋体" w:hAnsi="宋体"/>
                <w:szCs w:val="21"/>
              </w:rPr>
              <w:t xml:space="preserve">程定位为调结构促转型，提升经营质量，从风险控制的角度，对一些项目和客户以及销售模式等都做了较大调整，虽然销售增速下降明显，但经营质量显著提高。 </w:t>
            </w:r>
          </w:p>
          <w:p>
            <w:pPr>
              <w:spacing w:line="360" w:lineRule="auto"/>
              <w:ind w:firstLine="420" w:firstLineChars="200"/>
              <w:rPr>
                <w:rFonts w:ascii="宋体" w:hAnsi="宋体"/>
                <w:szCs w:val="21"/>
              </w:rPr>
            </w:pPr>
            <w:r>
              <w:rPr>
                <w:rFonts w:hint="eastAsia" w:ascii="宋体" w:hAnsi="宋体"/>
                <w:szCs w:val="21"/>
              </w:rPr>
              <w:t>面对今年的市场变化,公司目前正在积极调整应对，重点布局后续的发展，我们相信困难是暂时的，通过努力，明后年依然能够保持稳健的增长态势。具体措施如下：</w:t>
            </w:r>
          </w:p>
          <w:p>
            <w:pPr>
              <w:spacing w:line="360" w:lineRule="auto"/>
              <w:ind w:firstLine="420" w:firstLineChars="200"/>
              <w:rPr>
                <w:rFonts w:ascii="宋体" w:hAnsi="宋体"/>
                <w:szCs w:val="21"/>
              </w:rPr>
            </w:pPr>
            <w:r>
              <w:rPr>
                <w:rFonts w:hint="eastAsia" w:ascii="宋体" w:hAnsi="宋体"/>
                <w:szCs w:val="21"/>
              </w:rPr>
              <w:t>1、针对零售业务：一是继续在空白市场、薄弱市场进一步拓展，积极提升市占率；二是大力挖潜二手新房、二次装修等存量市场空间；三是积极拓展同心圆产业链的产品，提高户均额。</w:t>
            </w:r>
          </w:p>
          <w:p>
            <w:pPr>
              <w:spacing w:line="360" w:lineRule="auto"/>
              <w:ind w:firstLine="420" w:firstLineChars="200"/>
              <w:rPr>
                <w:rFonts w:ascii="宋体" w:hAnsi="宋体"/>
                <w:szCs w:val="21"/>
              </w:rPr>
            </w:pPr>
            <w:r>
              <w:rPr>
                <w:rFonts w:hint="eastAsia" w:ascii="宋体" w:hAnsi="宋体"/>
                <w:szCs w:val="21"/>
              </w:rPr>
              <w:t>2、针对市政工程业务：通过今年的调整、改革和布局，积累了长期可持续的优质工程客户，客户质量进一步提升。明年继续按照既定思路，推进结构转型，在控制风险和提高盈利能力的基础上，大力开拓市政工程业务。</w:t>
            </w:r>
          </w:p>
          <w:p>
            <w:pPr>
              <w:spacing w:line="360" w:lineRule="auto"/>
              <w:ind w:firstLine="420" w:firstLineChars="200"/>
              <w:rPr>
                <w:rFonts w:ascii="宋体" w:hAnsi="宋体"/>
                <w:szCs w:val="21"/>
              </w:rPr>
            </w:pPr>
            <w:r>
              <w:rPr>
                <w:rFonts w:hint="eastAsia" w:ascii="宋体" w:hAnsi="宋体"/>
                <w:szCs w:val="21"/>
              </w:rPr>
              <w:t>3、建筑工程业务：继续保持良好的发展态势，进一步加快开拓力度，保持业务的可持续发展。</w:t>
            </w:r>
          </w:p>
          <w:p>
            <w:pPr>
              <w:spacing w:line="360" w:lineRule="auto"/>
              <w:ind w:firstLine="422" w:firstLineChars="200"/>
              <w:rPr>
                <w:rFonts w:ascii="宋体" w:hAnsi="宋体"/>
                <w:b/>
                <w:szCs w:val="21"/>
              </w:rPr>
            </w:pPr>
            <w:r>
              <w:rPr>
                <w:rFonts w:hint="eastAsia" w:ascii="宋体" w:hAnsi="宋体"/>
                <w:b/>
                <w:szCs w:val="21"/>
              </w:rPr>
              <w:t>二、互动问答情况</w:t>
            </w:r>
          </w:p>
          <w:p>
            <w:pPr>
              <w:spacing w:line="360" w:lineRule="auto"/>
              <w:ind w:firstLine="420" w:firstLineChars="200"/>
              <w:rPr>
                <w:rFonts w:ascii="宋体" w:hAnsi="宋体"/>
                <w:szCs w:val="21"/>
              </w:rPr>
            </w:pPr>
            <w:r>
              <w:rPr>
                <w:rFonts w:hint="eastAsia" w:ascii="宋体" w:hAnsi="宋体"/>
                <w:szCs w:val="21"/>
              </w:rPr>
              <w:t>1、2019Q3分产品收入增速情况？</w:t>
            </w:r>
          </w:p>
          <w:p>
            <w:pPr>
              <w:spacing w:line="360" w:lineRule="auto"/>
              <w:ind w:firstLine="420" w:firstLineChars="200"/>
              <w:rPr>
                <w:rFonts w:ascii="宋体" w:hAnsi="宋体"/>
                <w:szCs w:val="21"/>
              </w:rPr>
            </w:pPr>
            <w:r>
              <w:rPr>
                <w:rFonts w:hint="eastAsia" w:ascii="宋体" w:hAnsi="宋体"/>
                <w:szCs w:val="21"/>
              </w:rPr>
              <w:t>答：2019年1-9月，</w:t>
            </w:r>
            <w:r>
              <w:rPr>
                <w:rFonts w:ascii="宋体" w:hAnsi="宋体"/>
                <w:szCs w:val="21"/>
              </w:rPr>
              <w:t xml:space="preserve"> PPR</w:t>
            </w:r>
            <w:r>
              <w:rPr>
                <w:rFonts w:hint="eastAsia" w:ascii="宋体" w:hAnsi="宋体"/>
                <w:szCs w:val="21"/>
              </w:rPr>
              <w:t>管道的营业收入</w:t>
            </w:r>
            <w:r>
              <w:rPr>
                <w:rFonts w:ascii="宋体" w:hAnsi="宋体"/>
                <w:szCs w:val="21"/>
              </w:rPr>
              <w:t>增速</w:t>
            </w:r>
            <w:r>
              <w:rPr>
                <w:rFonts w:hint="eastAsia" w:ascii="宋体" w:hAnsi="宋体"/>
                <w:szCs w:val="21"/>
              </w:rPr>
              <w:t>下降</w:t>
            </w:r>
            <w:r>
              <w:rPr>
                <w:rFonts w:ascii="宋体" w:hAnsi="宋体"/>
                <w:szCs w:val="21"/>
              </w:rPr>
              <w:t>，PE</w:t>
            </w:r>
            <w:r>
              <w:rPr>
                <w:rFonts w:hint="eastAsia" w:ascii="宋体" w:hAnsi="宋体"/>
                <w:szCs w:val="21"/>
              </w:rPr>
              <w:t>管道的营业收入</w:t>
            </w:r>
            <w:r>
              <w:rPr>
                <w:rFonts w:ascii="宋体" w:hAnsi="宋体"/>
                <w:szCs w:val="21"/>
              </w:rPr>
              <w:t>基本持平，PVC</w:t>
            </w:r>
            <w:r>
              <w:rPr>
                <w:rFonts w:hint="eastAsia" w:ascii="宋体" w:hAnsi="宋体"/>
                <w:szCs w:val="21"/>
              </w:rPr>
              <w:t>管道的营业收入增长20%左右。</w:t>
            </w:r>
          </w:p>
          <w:p>
            <w:pPr>
              <w:spacing w:line="360" w:lineRule="auto"/>
              <w:ind w:firstLine="420" w:firstLineChars="200"/>
              <w:rPr>
                <w:rFonts w:ascii="宋体" w:hAnsi="宋体"/>
                <w:szCs w:val="21"/>
              </w:rPr>
            </w:pPr>
            <w:r>
              <w:rPr>
                <w:rFonts w:hint="eastAsia" w:ascii="宋体" w:hAnsi="宋体"/>
                <w:szCs w:val="21"/>
              </w:rPr>
              <w:t>2、从分渠道角度，2019Q3零售、市政工程、建筑工程收入增速？</w:t>
            </w:r>
          </w:p>
          <w:p>
            <w:pPr>
              <w:spacing w:line="360" w:lineRule="auto"/>
              <w:ind w:firstLine="420" w:firstLineChars="200"/>
              <w:rPr>
                <w:rFonts w:ascii="宋体" w:hAnsi="宋体"/>
                <w:szCs w:val="21"/>
              </w:rPr>
            </w:pPr>
            <w:r>
              <w:rPr>
                <w:rFonts w:hint="eastAsia" w:ascii="宋体" w:hAnsi="宋体"/>
                <w:szCs w:val="21"/>
              </w:rPr>
              <w:t>答：2019年1-9月，零售和市政工程的营业收入增速下降，建筑工程的营业收入增长40%多。</w:t>
            </w:r>
          </w:p>
          <w:p>
            <w:pPr>
              <w:spacing w:line="360" w:lineRule="auto"/>
              <w:ind w:firstLine="420" w:firstLineChars="200"/>
              <w:rPr>
                <w:rFonts w:ascii="宋体" w:hAnsi="宋体"/>
                <w:szCs w:val="21"/>
              </w:rPr>
            </w:pPr>
            <w:r>
              <w:rPr>
                <w:rFonts w:hint="eastAsia" w:ascii="宋体" w:hAnsi="宋体"/>
                <w:szCs w:val="21"/>
              </w:rPr>
              <w:t>3、2019Q3分产品毛利率情况？</w:t>
            </w:r>
          </w:p>
          <w:p>
            <w:pPr>
              <w:spacing w:line="360" w:lineRule="auto"/>
              <w:ind w:firstLine="420" w:firstLineChars="200"/>
              <w:rPr>
                <w:rFonts w:ascii="宋体" w:hAnsi="宋体"/>
                <w:szCs w:val="21"/>
              </w:rPr>
            </w:pPr>
            <w:r>
              <w:rPr>
                <w:rFonts w:hint="eastAsia" w:ascii="宋体" w:hAnsi="宋体"/>
                <w:szCs w:val="21"/>
              </w:rPr>
              <w:t>答：PPR管道的毛利率同比下降，主要是规模下降以及</w:t>
            </w:r>
            <w:r>
              <w:rPr>
                <w:rFonts w:ascii="宋体" w:hAnsi="宋体" w:cs="宋体"/>
                <w:kern w:val="0"/>
                <w:szCs w:val="21"/>
              </w:rPr>
              <w:t>产品结构</w:t>
            </w:r>
            <w:r>
              <w:rPr>
                <w:rFonts w:hint="eastAsia" w:ascii="宋体" w:hAnsi="宋体" w:cs="宋体"/>
                <w:kern w:val="0"/>
                <w:szCs w:val="21"/>
              </w:rPr>
              <w:t>变化，</w:t>
            </w:r>
            <w:r>
              <w:rPr>
                <w:rFonts w:hint="eastAsia" w:ascii="宋体" w:hAnsi="宋体"/>
                <w:szCs w:val="21"/>
              </w:rPr>
              <w:t>工程用的PPR管道增长。PE管道的毛利率同比增长。PVC管道的毛利率同比略有增加。</w:t>
            </w:r>
          </w:p>
          <w:p>
            <w:pPr>
              <w:spacing w:line="360" w:lineRule="auto"/>
              <w:ind w:firstLine="420" w:firstLineChars="200"/>
              <w:rPr>
                <w:rFonts w:ascii="宋体" w:hAnsi="宋体"/>
                <w:szCs w:val="21"/>
              </w:rPr>
            </w:pPr>
            <w:r>
              <w:rPr>
                <w:rFonts w:hint="eastAsia" w:ascii="宋体" w:hAnsi="宋体"/>
                <w:szCs w:val="21"/>
              </w:rPr>
              <w:t>4、请问原材料的价格变动情况？</w:t>
            </w:r>
          </w:p>
          <w:p>
            <w:pPr>
              <w:spacing w:line="360" w:lineRule="auto"/>
              <w:ind w:firstLine="420" w:firstLineChars="200"/>
              <w:rPr>
                <w:rFonts w:ascii="宋体" w:hAnsi="宋体"/>
                <w:szCs w:val="21"/>
              </w:rPr>
            </w:pPr>
            <w:r>
              <w:rPr>
                <w:rFonts w:hint="eastAsia" w:ascii="宋体" w:hAnsi="宋体"/>
                <w:szCs w:val="21"/>
              </w:rPr>
              <w:t>答：今年原材料价格相对比较稳定，其中，PPR价格同比没有太大变化，PE价格有所下降，PVC价格基本持平。</w:t>
            </w:r>
          </w:p>
          <w:p>
            <w:pPr>
              <w:spacing w:line="360" w:lineRule="auto"/>
              <w:ind w:firstLine="420" w:firstLineChars="200"/>
              <w:rPr>
                <w:rFonts w:ascii="宋体" w:hAnsi="宋体"/>
                <w:szCs w:val="21"/>
              </w:rPr>
            </w:pPr>
            <w:r>
              <w:rPr>
                <w:rFonts w:hint="eastAsia" w:ascii="宋体" w:hAnsi="宋体"/>
                <w:szCs w:val="21"/>
              </w:rPr>
              <w:t>5、请问对建筑工程，如何选择优质项目，如何开拓业务？</w:t>
            </w:r>
          </w:p>
          <w:p>
            <w:pPr>
              <w:spacing w:line="360" w:lineRule="auto"/>
              <w:ind w:firstLine="420" w:firstLineChars="200"/>
              <w:rPr>
                <w:rFonts w:ascii="宋体" w:hAnsi="宋体"/>
                <w:szCs w:val="21"/>
              </w:rPr>
            </w:pPr>
            <w:r>
              <w:rPr>
                <w:rFonts w:hint="eastAsia" w:ascii="宋体" w:hAnsi="宋体"/>
                <w:szCs w:val="21"/>
              </w:rPr>
              <w:t>答：公司会选择定位高的优质项目：一是要有一定的盈利，二是应收账款符合公司政策，三是希望项目可以做到可持续。公司通常按照“产品+系统+服务”的方式去开拓建筑工程业务。</w:t>
            </w:r>
          </w:p>
          <w:p>
            <w:pPr>
              <w:spacing w:line="360" w:lineRule="auto"/>
              <w:ind w:firstLine="420" w:firstLineChars="200"/>
              <w:rPr>
                <w:rFonts w:ascii="宋体" w:hAnsi="宋体"/>
                <w:szCs w:val="21"/>
              </w:rPr>
            </w:pPr>
            <w:r>
              <w:rPr>
                <w:rFonts w:hint="eastAsia" w:ascii="宋体" w:hAnsi="宋体"/>
                <w:szCs w:val="21"/>
              </w:rPr>
              <w:t>6、请问公司对市政工程业务应收账款的要求是多少？</w:t>
            </w:r>
          </w:p>
          <w:p>
            <w:pPr>
              <w:spacing w:line="360" w:lineRule="auto"/>
              <w:ind w:firstLine="420" w:firstLineChars="200"/>
              <w:rPr>
                <w:rFonts w:ascii="宋体" w:hAnsi="宋体"/>
                <w:szCs w:val="21"/>
              </w:rPr>
            </w:pPr>
            <w:r>
              <w:rPr>
                <w:rFonts w:hint="eastAsia" w:ascii="宋体" w:hAnsi="宋体"/>
                <w:szCs w:val="21"/>
              </w:rPr>
              <w:t>答：公司对工程业务的应收账款一般要求控制在3个月以内。</w:t>
            </w:r>
          </w:p>
          <w:p>
            <w:pPr>
              <w:spacing w:line="360" w:lineRule="auto"/>
              <w:ind w:firstLine="420" w:firstLineChars="200"/>
              <w:rPr>
                <w:rFonts w:asciiTheme="minorEastAsia" w:hAnsiTheme="minorEastAsia" w:eastAsiaTheme="minorEastAsia"/>
                <w:szCs w:val="21"/>
              </w:rPr>
            </w:pPr>
            <w:r>
              <w:rPr>
                <w:rFonts w:hint="eastAsia" w:ascii="宋体" w:hAnsi="宋体"/>
                <w:szCs w:val="21"/>
              </w:rPr>
              <w:t>7、</w:t>
            </w:r>
            <w:r>
              <w:rPr>
                <w:rFonts w:hint="eastAsia" w:asciiTheme="minorEastAsia" w:hAnsiTheme="minorEastAsia" w:eastAsiaTheme="minorEastAsia"/>
                <w:szCs w:val="21"/>
              </w:rPr>
              <w:t>当前的渠道库存情况？</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答：目前库存状况比较良好。</w:t>
            </w:r>
          </w:p>
          <w:p>
            <w:pPr>
              <w:spacing w:line="360" w:lineRule="auto"/>
              <w:ind w:firstLine="420" w:firstLineChars="200"/>
              <w:rPr>
                <w:rFonts w:ascii="宋体" w:hAnsi="宋体"/>
                <w:szCs w:val="21"/>
              </w:rPr>
            </w:pPr>
            <w:r>
              <w:rPr>
                <w:rFonts w:hint="eastAsia" w:ascii="宋体" w:hAnsi="宋体"/>
                <w:szCs w:val="21"/>
              </w:rPr>
              <w:t>8、由于竣工周期的下行和精装房的上行，公司重心会不会放在工程端？</w:t>
            </w:r>
          </w:p>
          <w:p>
            <w:pPr>
              <w:spacing w:line="360" w:lineRule="auto"/>
              <w:ind w:firstLine="420" w:firstLineChars="200"/>
              <w:rPr>
                <w:rFonts w:ascii="宋体" w:hAnsi="宋体"/>
                <w:szCs w:val="21"/>
              </w:rPr>
            </w:pPr>
            <w:r>
              <w:rPr>
                <w:rFonts w:hint="eastAsia" w:ascii="宋体" w:hAnsi="宋体"/>
                <w:szCs w:val="21"/>
              </w:rPr>
              <w:t>答：公司坚持“零售和工程”双轮驱动战略，公司会</w:t>
            </w:r>
            <w:r>
              <w:rPr>
                <w:rFonts w:hint="eastAsia" w:ascii="宋体" w:hAnsi="宋体"/>
                <w:szCs w:val="21"/>
                <w:lang w:val="en-US" w:eastAsia="zh-CN"/>
              </w:rPr>
              <w:t>把握</w:t>
            </w:r>
            <w:r>
              <w:rPr>
                <w:rFonts w:hint="eastAsia" w:ascii="宋体" w:hAnsi="宋体"/>
                <w:szCs w:val="21"/>
              </w:rPr>
              <w:t>精装修的机会，加强建筑工程的开拓力度，继续保持良好的发展态势；市政业务通过今年的调整，未来也会有所起色。零售业务依然是重点，未来将通过提高市占率和推进同心圆战略等，促进其持续健康发展。</w:t>
            </w:r>
          </w:p>
          <w:p>
            <w:pPr>
              <w:spacing w:line="360" w:lineRule="auto"/>
              <w:ind w:firstLine="420" w:firstLineChars="200"/>
              <w:rPr>
                <w:rFonts w:ascii="宋体" w:hAnsi="宋体"/>
                <w:szCs w:val="21"/>
              </w:rPr>
            </w:pPr>
            <w:r>
              <w:rPr>
                <w:rFonts w:hint="eastAsia" w:ascii="宋体" w:hAnsi="宋体"/>
                <w:szCs w:val="21"/>
              </w:rPr>
              <w:t>9、零售渠道发生变化，真正的客户在哪里，占比情况如何？</w:t>
            </w:r>
          </w:p>
          <w:p>
            <w:pPr>
              <w:spacing w:line="360" w:lineRule="auto"/>
              <w:ind w:firstLine="420" w:firstLineChars="200"/>
              <w:rPr>
                <w:rFonts w:ascii="宋体" w:hAnsi="宋体"/>
                <w:szCs w:val="21"/>
              </w:rPr>
            </w:pPr>
            <w:r>
              <w:rPr>
                <w:rFonts w:hint="eastAsia" w:ascii="宋体" w:hAnsi="宋体"/>
                <w:szCs w:val="21"/>
              </w:rPr>
              <w:t>答：零售渠道中的客户分为：家装公司、水工、业主。在不同城市占比不同，一二级城市以家装公司为主，其他城市和郊区还是以水工、业主为主。</w:t>
            </w:r>
          </w:p>
          <w:p>
            <w:pPr>
              <w:spacing w:line="360" w:lineRule="auto"/>
              <w:ind w:firstLine="420" w:firstLineChars="200"/>
              <w:rPr>
                <w:rFonts w:ascii="宋体" w:hAnsi="宋体"/>
                <w:szCs w:val="21"/>
              </w:rPr>
            </w:pPr>
            <w:r>
              <w:rPr>
                <w:rFonts w:hint="eastAsia" w:ascii="宋体" w:hAnsi="宋体"/>
                <w:szCs w:val="21"/>
              </w:rPr>
              <w:t>10、建筑工程增长很快，精装房比例提升，对建筑工程的长期策略？</w:t>
            </w:r>
          </w:p>
          <w:p>
            <w:pPr>
              <w:spacing w:line="360" w:lineRule="auto"/>
              <w:ind w:firstLine="420" w:firstLineChars="200"/>
              <w:rPr>
                <w:rFonts w:ascii="宋体" w:hAnsi="宋体"/>
                <w:szCs w:val="21"/>
              </w:rPr>
            </w:pPr>
            <w:r>
              <w:rPr>
                <w:rFonts w:hint="eastAsia" w:ascii="宋体" w:hAnsi="宋体"/>
                <w:szCs w:val="21"/>
              </w:rPr>
              <w:t>答：对于精装房提升，公司前几年就成立了房产事业部，后改名为建筑工程事业部，统筹房产业务，产能也做相应安排。公司的优势在于一是公司产品品质高，品类配套比较完善，二是具有差异化的系统产品，例如：中央空调系统、新风系统等。三是具有较强的配送能力、综合服务能力</w:t>
            </w:r>
            <w:bookmarkStart w:id="0" w:name="_GoBack"/>
            <w:bookmarkEnd w:id="0"/>
            <w:r>
              <w:rPr>
                <w:rFonts w:hint="eastAsia" w:ascii="宋体" w:hAnsi="宋体"/>
                <w:szCs w:val="21"/>
              </w:rPr>
              <w:t>。未来公司会继续加强建筑工程的开拓力度，继续保持良好的发展态势。</w:t>
            </w:r>
          </w:p>
          <w:p>
            <w:pPr>
              <w:spacing w:line="360" w:lineRule="auto"/>
              <w:ind w:firstLine="420" w:firstLineChars="200"/>
              <w:rPr>
                <w:rFonts w:ascii="宋体" w:hAnsi="宋体"/>
                <w:szCs w:val="21"/>
              </w:rPr>
            </w:pPr>
            <w:r>
              <w:rPr>
                <w:rFonts w:hint="eastAsia" w:ascii="宋体" w:hAnsi="宋体"/>
                <w:szCs w:val="21"/>
              </w:rPr>
              <w:t>11、如何对经销商进行管理和引导？</w:t>
            </w:r>
          </w:p>
          <w:p>
            <w:pPr>
              <w:spacing w:line="360" w:lineRule="auto"/>
              <w:ind w:firstLine="420" w:firstLineChars="200"/>
              <w:rPr>
                <w:rFonts w:ascii="宋体" w:hAnsi="宋体"/>
                <w:szCs w:val="21"/>
              </w:rPr>
            </w:pPr>
            <w:r>
              <w:rPr>
                <w:rFonts w:hint="eastAsia" w:ascii="宋体" w:hAnsi="宋体"/>
                <w:szCs w:val="21"/>
              </w:rPr>
              <w:t>答：公司在全国有30多家分公司，对经销商进行统一引导和管理。分公司的职能具体如下：一是市场开拓，开发更多的经销商；二是市场管理监督职能，对品牌形象、市场秩序、政策执行等进行管理和监管；三是市场服务职能，为经销商提供各类管理、营销以及市场推广培训，并配合其招投标等服务性支持。</w:t>
            </w:r>
          </w:p>
          <w:p>
            <w:pPr>
              <w:spacing w:line="360" w:lineRule="auto"/>
              <w:ind w:firstLine="420" w:firstLineChars="200"/>
              <w:rPr>
                <w:rFonts w:ascii="宋体" w:hAnsi="宋体"/>
                <w:szCs w:val="21"/>
              </w:rPr>
            </w:pPr>
            <w:r>
              <w:rPr>
                <w:rFonts w:hint="eastAsia" w:ascii="宋体" w:hAnsi="宋体"/>
                <w:szCs w:val="21"/>
              </w:rPr>
              <w:t>12、建筑工程板块，公司对于开发商的账期是多久？</w:t>
            </w:r>
          </w:p>
          <w:p>
            <w:pPr>
              <w:spacing w:line="360" w:lineRule="auto"/>
              <w:ind w:firstLine="420" w:firstLineChars="200"/>
              <w:rPr>
                <w:rFonts w:ascii="宋体" w:hAnsi="宋体"/>
                <w:szCs w:val="21"/>
              </w:rPr>
            </w:pPr>
            <w:r>
              <w:rPr>
                <w:rFonts w:hint="eastAsia" w:ascii="宋体" w:hAnsi="宋体"/>
                <w:szCs w:val="21"/>
              </w:rPr>
              <w:t>答：公司对工程业务的账期要求都是不超过3个月。</w:t>
            </w:r>
          </w:p>
          <w:p>
            <w:pPr>
              <w:spacing w:line="360" w:lineRule="auto"/>
              <w:ind w:firstLine="420" w:firstLineChars="200"/>
              <w:rPr>
                <w:rFonts w:ascii="宋体" w:hAnsi="宋体"/>
                <w:szCs w:val="21"/>
              </w:rPr>
            </w:pPr>
            <w:r>
              <w:rPr>
                <w:rFonts w:hint="eastAsia" w:ascii="宋体" w:hAnsi="宋体"/>
                <w:szCs w:val="21"/>
              </w:rPr>
              <w:t>13、请问公司会考虑根据原材料价格的变化来调整价格吗？</w:t>
            </w:r>
          </w:p>
          <w:p>
            <w:pPr>
              <w:spacing w:line="360" w:lineRule="auto"/>
              <w:ind w:firstLine="420" w:firstLineChars="200"/>
              <w:rPr>
                <w:rFonts w:ascii="宋体" w:hAnsi="宋体"/>
                <w:szCs w:val="21"/>
              </w:rPr>
            </w:pPr>
            <w:r>
              <w:rPr>
                <w:rFonts w:hint="eastAsia" w:ascii="宋体" w:hAnsi="宋体"/>
                <w:szCs w:val="21"/>
              </w:rPr>
              <w:t>答：公司产品定价主要采取成本加成法。其中，零售类产品的价格体系相对比较稳定，如果成本端波动较大，公司会综合考虑制造成本、市场需求、客户接受程度等因素，对产品价格进行适当调整；工程类产品，产品价格随行就市，按单定价。</w:t>
            </w:r>
          </w:p>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iCs/>
                <w:szCs w:val="21"/>
              </w:rPr>
            </w:pPr>
            <w:r>
              <w:rPr>
                <w:rFonts w:hint="eastAsia" w:ascii="宋体" w:hAnsi="宋体" w:cs="宋体"/>
                <w:b/>
                <w:bCs/>
                <w:iCs/>
                <w:szCs w:val="21"/>
              </w:rPr>
              <w:t>附件清单（如有）</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iCs/>
                <w:szCs w:val="21"/>
              </w:rPr>
            </w:pPr>
            <w:r>
              <w:rPr>
                <w:rFonts w:hint="eastAsia" w:ascii="宋体" w:hAnsi="宋体" w:cs="宋体"/>
                <w:bCs/>
                <w:i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iCs/>
                <w:szCs w:val="21"/>
              </w:rPr>
            </w:pPr>
            <w:r>
              <w:rPr>
                <w:rFonts w:hint="eastAsia" w:ascii="宋体" w:hAnsi="宋体" w:cs="宋体"/>
                <w:b/>
                <w:bCs/>
                <w:iCs/>
                <w:szCs w:val="21"/>
              </w:rPr>
              <w:t>日期</w:t>
            </w:r>
          </w:p>
        </w:tc>
        <w:tc>
          <w:tcPr>
            <w:tcW w:w="774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iCs/>
                <w:szCs w:val="21"/>
              </w:rPr>
            </w:pPr>
            <w:r>
              <w:rPr>
                <w:rFonts w:hint="eastAsia" w:ascii="宋体" w:hAnsi="宋体" w:cs="宋体"/>
                <w:bCs/>
                <w:iCs/>
                <w:szCs w:val="21"/>
              </w:rPr>
              <w:t>2019年10月29日下午</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3</w:t>
    </w:r>
    <w:r>
      <w:rPr>
        <w:rFonts w:ascii="宋体" w:hAnsi="宋体"/>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77C0"/>
    <w:rsid w:val="002D172E"/>
    <w:rsid w:val="004A77C0"/>
    <w:rsid w:val="004D5685"/>
    <w:rsid w:val="007124A8"/>
    <w:rsid w:val="0082289D"/>
    <w:rsid w:val="00C97C0E"/>
    <w:rsid w:val="00E337AB"/>
    <w:rsid w:val="0AFD09E2"/>
    <w:rsid w:val="5A3F3984"/>
    <w:rsid w:val="6E29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99"/>
    <w:rPr>
      <w:b/>
      <w:bCs/>
    </w:rPr>
  </w:style>
  <w:style w:type="paragraph" w:styleId="3">
    <w:name w:val="annotation text"/>
    <w:basedOn w:val="1"/>
    <w:link w:val="15"/>
    <w:uiPriority w:val="99"/>
    <w:pPr>
      <w:jc w:val="left"/>
    </w:pPr>
  </w:style>
  <w:style w:type="paragraph" w:styleId="4">
    <w:name w:val="Balloon Text"/>
    <w:basedOn w:val="1"/>
    <w:link w:val="17"/>
    <w:qFormat/>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2"/>
    <w:qFormat/>
    <w:uiPriority w:val="99"/>
    <w:pPr>
      <w:keepNext/>
      <w:keepLines/>
      <w:spacing w:before="340" w:after="330" w:line="578" w:lineRule="auto"/>
      <w:jc w:val="center"/>
    </w:pPr>
    <w:rPr>
      <w:b/>
      <w:bCs/>
      <w:kern w:val="32"/>
      <w:sz w:val="32"/>
      <w:szCs w:val="32"/>
    </w:rPr>
  </w:style>
  <w:style w:type="character" w:styleId="9">
    <w:name w:val="Hyperlink"/>
    <w:basedOn w:val="8"/>
    <w:qFormat/>
    <w:uiPriority w:val="99"/>
    <w:rPr>
      <w:color w:val="0000FF"/>
      <w:u w:val="single"/>
    </w:rPr>
  </w:style>
  <w:style w:type="character" w:styleId="10">
    <w:name w:val="annotation reference"/>
    <w:basedOn w:val="8"/>
    <w:qFormat/>
    <w:uiPriority w:val="99"/>
    <w:rPr>
      <w:sz w:val="21"/>
      <w:szCs w:val="21"/>
    </w:rPr>
  </w:style>
  <w:style w:type="character" w:customStyle="1" w:styleId="12">
    <w:name w:val="标题 Char"/>
    <w:basedOn w:val="8"/>
    <w:link w:val="7"/>
    <w:uiPriority w:val="99"/>
    <w:rPr>
      <w:rFonts w:ascii="Times New Roman" w:hAnsi="Times New Roman" w:eastAsia="宋体" w:cs="Times New Roman"/>
      <w:b/>
      <w:bCs/>
      <w:kern w:val="32"/>
      <w:sz w:val="32"/>
      <w:szCs w:val="32"/>
    </w:rPr>
  </w:style>
  <w:style w:type="character" w:customStyle="1" w:styleId="13">
    <w:name w:val="页眉 Char"/>
    <w:basedOn w:val="8"/>
    <w:link w:val="6"/>
    <w:qFormat/>
    <w:uiPriority w:val="99"/>
    <w:rPr>
      <w:rFonts w:ascii="Times New Roman" w:hAnsi="Times New Roman" w:eastAsia="宋体" w:cs="Times New Roman"/>
      <w:sz w:val="18"/>
      <w:szCs w:val="18"/>
    </w:rPr>
  </w:style>
  <w:style w:type="character" w:customStyle="1" w:styleId="14">
    <w:name w:val="页脚 Char"/>
    <w:basedOn w:val="8"/>
    <w:link w:val="5"/>
    <w:qFormat/>
    <w:uiPriority w:val="99"/>
    <w:rPr>
      <w:rFonts w:ascii="Times New Roman" w:hAnsi="Times New Roman" w:eastAsia="宋体" w:cs="Times New Roman"/>
      <w:sz w:val="18"/>
      <w:szCs w:val="18"/>
    </w:rPr>
  </w:style>
  <w:style w:type="character" w:customStyle="1" w:styleId="15">
    <w:name w:val="批注文字 Char"/>
    <w:basedOn w:val="8"/>
    <w:link w:val="3"/>
    <w:qFormat/>
    <w:uiPriority w:val="99"/>
    <w:rPr>
      <w:rFonts w:ascii="Times New Roman" w:hAnsi="Times New Roman" w:eastAsia="宋体" w:cs="Times New Roman"/>
      <w:szCs w:val="24"/>
    </w:rPr>
  </w:style>
  <w:style w:type="character" w:customStyle="1" w:styleId="16">
    <w:name w:val="批注主题 Char"/>
    <w:basedOn w:val="15"/>
    <w:link w:val="2"/>
    <w:qFormat/>
    <w:uiPriority w:val="99"/>
    <w:rPr>
      <w:b/>
      <w:bCs/>
    </w:rPr>
  </w:style>
  <w:style w:type="character" w:customStyle="1" w:styleId="17">
    <w:name w:val="批注框文本 Char"/>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FC9D1-EC19-48C9-9278-BFEF724176C8}">
  <ds:schemaRefs/>
</ds:datastoreItem>
</file>

<file path=docProps/app.xml><?xml version="1.0" encoding="utf-8"?>
<Properties xmlns="http://schemas.openxmlformats.org/officeDocument/2006/extended-properties" xmlns:vt="http://schemas.openxmlformats.org/officeDocument/2006/docPropsVTypes">
  <Template>Normal</Template>
  <Pages>4</Pages>
  <Words>451</Words>
  <Characters>2573</Characters>
  <Lines>21</Lines>
  <Paragraphs>6</Paragraphs>
  <TotalTime>2106</TotalTime>
  <ScaleCrop>false</ScaleCrop>
  <LinksUpToDate>false</LinksUpToDate>
  <CharactersWithSpaces>3018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2019-04-25T08:54:00Z</dcterms:created>
  <dc:creator>zj</dc:creator>
  <cp:lastModifiedBy>陈银琼</cp:lastModifiedBy>
  <dcterms:modified xsi:type="dcterms:W3CDTF">2019-10-31T03:47:31Z</dcterms:modified>
  <cp:revision>234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